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202690" cy="971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02690" cy="971550"/>
                    </a:xfrm>
                    <a:prstGeom prst="rect">
                      <a:avLst/>
                    </a:prstGeom>
                  </pic:spPr>
                </pic:pic>
              </a:graphicData>
            </a:graphic>
          </wp:anchor>
        </w:drawing>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r>
        <w:rPr>
          <w:rFonts w:eastAsia="MS Gothic" w:cs="Times New Roman" w:ascii="Arial" w:hAnsi="Arial"/>
          <w:b/>
          <w:bCs/>
          <w:color w:val="344E4A"/>
          <w:sz w:val="20"/>
          <w:szCs w:val="20"/>
        </w:rPr>
      </w:r>
    </w:p>
    <w:p>
      <w:pPr>
        <w:pStyle w:val="Normal"/>
        <w:widowControl w:val="false"/>
        <w:numPr>
          <w:ilvl w:val="0"/>
          <w:numId w:val="0"/>
        </w:numPr>
        <w:spacing w:lineRule="auto" w:line="240" w:before="0" w:after="0"/>
        <w:ind w:left="0" w:hanging="0"/>
        <w:jc w:val="center"/>
        <w:outlineLvl w:val="0"/>
        <w:rPr>
          <w:rFonts w:ascii="Arial" w:hAnsi="Arial" w:eastAsia="MS Gothic" w:cs="Times New Roman"/>
          <w:b/>
          <w:b/>
          <w:bCs/>
          <w:color w:val="344E4A"/>
          <w:sz w:val="20"/>
          <w:szCs w:val="20"/>
        </w:rPr>
      </w:pPr>
      <w:bookmarkStart w:id="0" w:name="_Toc94704857"/>
      <w:r>
        <w:rPr>
          <w:rFonts w:eastAsia="MS Gothic" w:cs="Times New Roman" w:ascii="Arial" w:hAnsi="Arial"/>
          <w:b/>
          <w:bCs/>
          <w:color w:val="344E4A"/>
          <w:sz w:val="20"/>
          <w:szCs w:val="20"/>
        </w:rPr>
        <w:t>Annexe 3 : Les critères d’évaluation des projets</w:t>
      </w:r>
      <w:bookmarkEnd w:id="0"/>
      <w:r>
        <w:rPr>
          <w:rFonts w:eastAsia="MS Gothic" w:cs="Times New Roman" w:ascii="Arial" w:hAnsi="Arial"/>
          <w:b/>
          <w:bCs/>
          <w:color w:val="344E4A"/>
          <w:sz w:val="20"/>
          <w:szCs w:val="20"/>
        </w:rPr>
        <w:t xml:space="preserve"> </w:t>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t>Les critères d’évaluation (ou indicateurs) permettent de rendre compte de l’efficacité des actions entreprises et du bon usage des deniers publics. Les porteurs de projets retenus par le comité de sélection s’engagent à assurer le suivi de leurs actions au moyen des indicateurs suivants, qui se divisent en deux catégories :</w:t>
      </w:r>
    </w:p>
    <w:p>
      <w:pPr>
        <w:pStyle w:val="Normal"/>
        <w:widowControl w:val="false"/>
        <w:numPr>
          <w:ilvl w:val="0"/>
          <w:numId w:val="3"/>
        </w:numPr>
        <w:spacing w:lineRule="auto" w:line="240" w:before="2" w:after="0"/>
        <w:rPr>
          <w:rFonts w:ascii="Times New Roman" w:hAnsi="Times New Roman" w:eastAsia="Arial" w:cs="Times New Roman"/>
          <w:sz w:val="20"/>
          <w:szCs w:val="20"/>
        </w:rPr>
      </w:pPr>
      <w:r>
        <w:rPr>
          <w:rFonts w:eastAsia="Arial" w:cs="Times New Roman" w:ascii="Times New Roman" w:hAnsi="Times New Roman"/>
          <w:sz w:val="20"/>
          <w:szCs w:val="20"/>
        </w:rPr>
        <w:t>les indicateurs financiers et relatifs au public bénéficiaire, obligatoires pour toutes les actions ;</w:t>
      </w:r>
    </w:p>
    <w:p>
      <w:pPr>
        <w:pStyle w:val="Normal"/>
        <w:widowControl w:val="false"/>
        <w:numPr>
          <w:ilvl w:val="0"/>
          <w:numId w:val="3"/>
        </w:numPr>
        <w:spacing w:lineRule="auto" w:line="240" w:before="2" w:after="0"/>
        <w:rPr>
          <w:rFonts w:ascii="Times New Roman" w:hAnsi="Times New Roman" w:eastAsia="Arial" w:cs="Times New Roman"/>
          <w:sz w:val="20"/>
          <w:szCs w:val="20"/>
        </w:rPr>
      </w:pPr>
      <w:r>
        <w:rPr>
          <w:rFonts w:eastAsia="Arial" w:cs="Times New Roman" w:ascii="Times New Roman" w:hAnsi="Times New Roman"/>
          <w:sz w:val="20"/>
          <w:szCs w:val="20"/>
        </w:rPr>
        <w:t>les indicateurs thématiques, c’est-à-dire propres à chaque action en fonction de son objet (accompagnement vers l’emploi, etc.).</w:t>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t xml:space="preserve">Les indicateurs et leurs cibles prévisionnels figurent en annexe des conventions et font partie intégrante de celles-ci. Les valeurs réalisées devront être communiquées à l’administration à échéance annuelle via un outil dématérialisé. </w:t>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t xml:space="preserve">Vous trouverez ci-dessous, à titre indicatif, des indicateurs qui feront l’objet d’un échange entre l’administration et le porteur en cas de sélection du projet. </w:t>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numPr>
          <w:ilvl w:val="3"/>
          <w:numId w:val="9"/>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Indicateurs relatifs au public-cible (obligatoires pour toutes les actions)</w:t>
      </w:r>
    </w:p>
    <w:p>
      <w:pPr>
        <w:pStyle w:val="Normal"/>
        <w:widowControl w:val="false"/>
        <w:spacing w:lineRule="auto" w:line="240" w:before="2" w:after="0"/>
        <w:ind w:left="2880" w:hanging="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1"/>
          <w:numId w:val="6"/>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Pour les actions à destination des éligibles</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7"/>
        <w:gridCol w:w="3112"/>
        <w:gridCol w:w="3059"/>
      </w:tblGrid>
      <w:tr>
        <w:trPr/>
        <w:tc>
          <w:tcPr>
            <w:tcW w:w="3117"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112"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sz w:val="20"/>
                <w:szCs w:val="20"/>
                <w:lang w:val="fr-FR"/>
              </w:rPr>
            </w:pPr>
            <w:r>
              <w:rPr>
                <w:rFonts w:eastAsia="Arial" w:cs="Times New Roman" w:ascii="Times New Roman" w:hAnsi="Times New Roman"/>
                <w:b/>
                <w:kern w:val="0"/>
                <w:sz w:val="20"/>
                <w:szCs w:val="20"/>
                <w:lang w:val="fr-FR" w:eastAsia="en-US" w:bidi="ar-SA"/>
              </w:rPr>
              <w:t>Objectif</w:t>
            </w:r>
          </w:p>
        </w:tc>
        <w:tc>
          <w:tcPr>
            <w:tcW w:w="3059"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sz w:val="20"/>
                <w:szCs w:val="20"/>
                <w:lang w:val="fr-FR"/>
              </w:rPr>
            </w:pPr>
            <w:r>
              <w:rPr>
                <w:rFonts w:eastAsia="Arial" w:cs="Times New Roman" w:ascii="Times New Roman" w:hAnsi="Times New Roman"/>
                <w:b/>
                <w:kern w:val="0"/>
                <w:sz w:val="20"/>
                <w:szCs w:val="20"/>
                <w:lang w:val="fr-FR" w:eastAsia="en-US" w:bidi="ar-SA"/>
              </w:rPr>
              <w:t>Réalisé</w:t>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b/>
                <w:b/>
                <w:sz w:val="20"/>
                <w:szCs w:val="20"/>
                <w:lang w:val="fr-FR"/>
              </w:rPr>
            </w:pPr>
            <w:r>
              <w:rPr>
                <w:rFonts w:eastAsia="Arial" w:cs="Times New Roman" w:ascii="Times New Roman" w:hAnsi="Times New Roman"/>
                <w:b/>
                <w:kern w:val="0"/>
                <w:sz w:val="20"/>
                <w:szCs w:val="20"/>
                <w:lang w:val="fr-FR" w:eastAsia="en-US" w:bidi="ar-SA"/>
              </w:rPr>
              <w:t>Nombre total d’étrangers éligibles bénéficiaires de l’action</w:t>
            </w:r>
          </w:p>
        </w:tc>
        <w:tc>
          <w:tcPr>
            <w:tcW w:w="3112" w:type="dxa"/>
            <w:tcBorders/>
          </w:tcPr>
          <w:p>
            <w:pPr>
              <w:pStyle w:val="Normal"/>
              <w:widowControl w:val="false"/>
              <w:suppressAutoHyphens w:val="true"/>
              <w:spacing w:lineRule="auto" w:line="240" w:before="0" w:after="0"/>
              <w:jc w:val="left"/>
              <w:rPr>
                <w:rFonts w:ascii="Times New Roman" w:hAnsi="Times New Roman" w:eastAsia="Arial" w:cs="Times New Roman"/>
                <w:i/>
                <w:i/>
                <w:sz w:val="20"/>
                <w:szCs w:val="20"/>
                <w:lang w:val="fr-FR"/>
              </w:rPr>
            </w:pPr>
            <w:r>
              <w:rPr>
                <w:rFonts w:eastAsia="Arial" w:cs="Times New Roman" w:ascii="Times New Roman" w:hAnsi="Times New Roman"/>
                <w:i/>
                <w:color w:val="FF0000"/>
                <w:kern w:val="0"/>
                <w:sz w:val="20"/>
                <w:szCs w:val="20"/>
                <w:lang w:val="fr-FR" w:eastAsia="en-US" w:bidi="ar-SA"/>
              </w:rPr>
              <w:t>Indiquer la valeur-cible d’étrangers éligibles (dont BPI) bénéficiaires de l’action</w:t>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dont hommes</w:t>
            </w:r>
          </w:p>
        </w:tc>
        <w:tc>
          <w:tcPr>
            <w:tcW w:w="3112" w:type="dxa"/>
            <w:tcBorders>
              <w:bottom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dont femmes</w:t>
            </w:r>
          </w:p>
        </w:tc>
        <w:tc>
          <w:tcPr>
            <w:tcW w:w="3112" w:type="dxa"/>
            <w:tcBorders>
              <w:top w:val="nil"/>
              <w:bottom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dont moins de 25 ans</w:t>
            </w:r>
          </w:p>
        </w:tc>
        <w:tc>
          <w:tcPr>
            <w:tcW w:w="3112" w:type="dxa"/>
            <w:tcBorders>
              <w:top w:val="nil"/>
              <w:bottom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 xml:space="preserve">           </w:t>
            </w:r>
            <w:r>
              <w:rPr>
                <w:rFonts w:eastAsia="Arial" w:cs="Times New Roman" w:ascii="Times New Roman" w:hAnsi="Times New Roman"/>
                <w:kern w:val="0"/>
                <w:sz w:val="20"/>
                <w:szCs w:val="20"/>
                <w:lang w:val="fr-FR" w:eastAsia="en-US" w:bidi="ar-SA"/>
              </w:rPr>
              <w:t>dont BPI hommes</w:t>
            </w:r>
          </w:p>
        </w:tc>
        <w:tc>
          <w:tcPr>
            <w:tcW w:w="3112" w:type="dxa"/>
            <w:tcBorders>
              <w:top w:val="nil"/>
              <w:bottom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 xml:space="preserve">          </w:t>
            </w:r>
            <w:r>
              <w:rPr>
                <w:rFonts w:eastAsia="Arial" w:cs="Times New Roman" w:ascii="Times New Roman" w:hAnsi="Times New Roman"/>
                <w:kern w:val="0"/>
                <w:sz w:val="20"/>
                <w:szCs w:val="20"/>
                <w:lang w:val="fr-FR" w:eastAsia="en-US" w:bidi="ar-SA"/>
              </w:rPr>
              <w:t>dont BPI femmes</w:t>
            </w:r>
          </w:p>
        </w:tc>
        <w:tc>
          <w:tcPr>
            <w:tcW w:w="3112" w:type="dxa"/>
            <w:tcBorders>
              <w:top w:val="nil"/>
              <w:bottom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r>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kern w:val="0"/>
                <w:sz w:val="20"/>
                <w:szCs w:val="20"/>
                <w:lang w:val="fr-FR" w:eastAsia="en-US" w:bidi="ar-SA"/>
              </w:rPr>
              <w:t xml:space="preserve">          </w:t>
            </w:r>
            <w:r>
              <w:rPr>
                <w:rFonts w:eastAsia="Arial" w:cs="Times New Roman" w:ascii="Times New Roman" w:hAnsi="Times New Roman"/>
                <w:kern w:val="0"/>
                <w:sz w:val="20"/>
                <w:szCs w:val="20"/>
                <w:lang w:val="fr-FR" w:eastAsia="en-US" w:bidi="ar-SA"/>
              </w:rPr>
              <w:t>dont BPI moins de 25 ans</w:t>
            </w:r>
          </w:p>
        </w:tc>
        <w:tc>
          <w:tcPr>
            <w:tcW w:w="3112" w:type="dxa"/>
            <w:tcBorders>
              <w:top w:val="nil"/>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bl>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u w:val="single"/>
        </w:rPr>
        <w:t xml:space="preserve">Commentaire </w:t>
      </w:r>
      <w:r>
        <w:rPr>
          <w:rFonts w:eastAsia="Arial" w:cs="Times New Roman" w:ascii="Times New Roman" w:hAnsi="Times New Roman"/>
          <w:sz w:val="20"/>
          <w:szCs w:val="20"/>
        </w:rPr>
        <w:t>: en ce qui concerne la définition des objectifs, indiquer une valeur-cible uniquement pour le nombre total d’étrangers éligibles bénéficiaires de l’action (et non pour toutes les sous-catégories). Pour le « réalisé », il convient en revanche de renseigner toutes les cellules de la colonne de droite.</w:t>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t>1.2 Pour les actions à destination des acteurs de l’intégration</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7"/>
        <w:gridCol w:w="3112"/>
        <w:gridCol w:w="3059"/>
      </w:tblGrid>
      <w:tr>
        <w:trPr/>
        <w:tc>
          <w:tcPr>
            <w:tcW w:w="3117"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112"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Objectif</w:t>
            </w:r>
          </w:p>
        </w:tc>
        <w:tc>
          <w:tcPr>
            <w:tcW w:w="3059"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rHeight w:val="1211" w:hRule="atLeast"/>
        </w:trPr>
        <w:tc>
          <w:tcPr>
            <w:tcW w:w="3117"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d’acteurs de l’intégration</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bénéficiaires d’une action de</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formation</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112" w:type="dxa"/>
            <w:tcBorders/>
          </w:tcPr>
          <w:p>
            <w:pPr>
              <w:pStyle w:val="Normal"/>
              <w:widowControl w:val="false"/>
              <w:suppressAutoHyphens w:val="true"/>
              <w:spacing w:lineRule="auto" w:line="240" w:before="0" w:after="0"/>
              <w:jc w:val="left"/>
              <w:rPr>
                <w:rFonts w:ascii="Times New Roman" w:hAnsi="Times New Roman" w:eastAsia="Arial" w:cs="Times New Roman"/>
                <w:b/>
                <w:b/>
                <w:bCs/>
                <w:i/>
                <w:i/>
                <w:iCs/>
                <w:color w:val="FF0000"/>
                <w:sz w:val="20"/>
                <w:szCs w:val="20"/>
                <w:lang w:val="fr-FR"/>
              </w:rPr>
            </w:pPr>
            <w:r>
              <w:rPr>
                <w:rFonts w:eastAsia="Arial" w:cs="Times New Roman" w:ascii="Times New Roman" w:hAnsi="Times New Roman"/>
                <w:b/>
                <w:bCs/>
                <w:i/>
                <w:iCs/>
                <w:color w:val="FF0000"/>
                <w:sz w:val="20"/>
                <w:szCs w:val="20"/>
                <w:lang w:val="fr-FR"/>
              </w:rPr>
            </w:r>
          </w:p>
          <w:p>
            <w:pPr>
              <w:pStyle w:val="Normal"/>
              <w:widowControl w:val="false"/>
              <w:suppressAutoHyphens w:val="true"/>
              <w:spacing w:lineRule="auto" w:line="240" w:before="0" w:after="0"/>
              <w:jc w:val="both"/>
              <w:rPr>
                <w:rFonts w:ascii="Times New Roman" w:hAnsi="Times New Roman" w:eastAsia="Arial" w:cs="Times New Roman"/>
                <w:bCs/>
                <w:i/>
                <w:i/>
                <w:iCs/>
                <w:color w:val="FF0000"/>
                <w:sz w:val="20"/>
                <w:szCs w:val="20"/>
                <w:lang w:val="fr-FR"/>
              </w:rPr>
            </w:pPr>
            <w:r>
              <w:rPr>
                <w:rFonts w:eastAsia="Arial" w:cs="Times New Roman" w:ascii="Times New Roman" w:hAnsi="Times New Roman"/>
                <w:bCs/>
                <w:i/>
                <w:iCs/>
                <w:color w:val="FF0000"/>
                <w:kern w:val="0"/>
                <w:sz w:val="20"/>
                <w:szCs w:val="20"/>
                <w:lang w:val="fr-FR" w:eastAsia="en-US" w:bidi="ar-SA"/>
              </w:rPr>
              <w:t>Indiquer la valeur-cible d’acteurs de l’intégration bénéficiaires de l’action</w:t>
            </w:r>
          </w:p>
          <w:p>
            <w:pPr>
              <w:pStyle w:val="Normal"/>
              <w:widowControl w:val="false"/>
              <w:suppressAutoHyphens w:val="true"/>
              <w:spacing w:lineRule="auto" w:line="240" w:before="0" w:after="0"/>
              <w:jc w:val="left"/>
              <w:rPr>
                <w:rFonts w:ascii="Times New Roman" w:hAnsi="Times New Roman" w:eastAsia="Arial" w:cs="Times New Roman"/>
                <w:b/>
                <w:b/>
                <w:bCs/>
                <w:color w:val="FF0000"/>
                <w:sz w:val="20"/>
                <w:szCs w:val="20"/>
                <w:lang w:val="fr-FR"/>
              </w:rPr>
            </w:pPr>
            <w:r>
              <w:rPr>
                <w:rFonts w:eastAsia="Arial" w:cs="Times New Roman" w:ascii="Times New Roman" w:hAnsi="Times New Roman"/>
                <w:b/>
                <w:bCs/>
                <w:color w:val="FF0000"/>
                <w:sz w:val="20"/>
                <w:szCs w:val="20"/>
                <w:lang w:val="fr-FR"/>
              </w:rPr>
            </w:r>
          </w:p>
        </w:tc>
        <w:tc>
          <w:tcPr>
            <w:tcW w:w="3059"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i/>
          <w:i/>
          <w:iCs/>
          <w:sz w:val="20"/>
          <w:szCs w:val="20"/>
        </w:rPr>
      </w:pPr>
      <w:r>
        <w:rPr>
          <w:rFonts w:eastAsia="Arial" w:cs="Times New Roman" w:ascii="Times New Roman" w:hAnsi="Times New Roman"/>
          <w:i/>
          <w:iCs/>
          <w:sz w:val="20"/>
          <w:szCs w:val="20"/>
        </w:rPr>
      </w:r>
    </w:p>
    <w:p>
      <w:pPr>
        <w:pStyle w:val="Normal"/>
        <w:widowControl w:val="false"/>
        <w:spacing w:lineRule="auto" w:line="240" w:before="0" w:after="0"/>
        <w:rPr>
          <w:rFonts w:ascii="Times New Roman" w:hAnsi="Times New Roman" w:eastAsia="Arial" w:cs="Times New Roman"/>
          <w:i/>
          <w:i/>
          <w:iCs/>
          <w:sz w:val="20"/>
          <w:szCs w:val="20"/>
        </w:rPr>
      </w:pPr>
      <w:r>
        <w:rPr>
          <w:rFonts w:eastAsia="Arial" w:cs="Times New Roman" w:ascii="Times New Roman" w:hAnsi="Times New Roman"/>
          <w:i/>
          <w:i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85"/>
        <w:gridCol w:w="4602"/>
      </w:tblGrid>
      <w:tr>
        <w:trPr/>
        <w:tc>
          <w:tcPr>
            <w:tcW w:w="4685"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iCs/>
                <w:sz w:val="20"/>
                <w:szCs w:val="20"/>
                <w:lang w:val="fr-FR"/>
              </w:rPr>
            </w:pPr>
            <w:r>
              <w:rPr>
                <w:rFonts w:eastAsia="Arial" w:cs="Times New Roman" w:ascii="Times New Roman" w:hAnsi="Times New Roman"/>
                <w:iCs/>
                <w:sz w:val="20"/>
                <w:szCs w:val="20"/>
                <w:lang w:val="fr-FR"/>
              </w:rPr>
            </w:r>
          </w:p>
        </w:tc>
        <w:tc>
          <w:tcPr>
            <w:tcW w:w="4602"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iCs/>
                <w:sz w:val="20"/>
                <w:szCs w:val="20"/>
                <w:lang w:val="fr-FR"/>
              </w:rPr>
            </w:pPr>
            <w:r>
              <w:rPr>
                <w:rFonts w:eastAsia="Arial" w:cs="Times New Roman" w:ascii="Times New Roman" w:hAnsi="Times New Roman"/>
                <w:b/>
                <w:iCs/>
                <w:kern w:val="0"/>
                <w:sz w:val="20"/>
                <w:szCs w:val="20"/>
                <w:lang w:val="fr-FR" w:eastAsia="en-US" w:bidi="ar-SA"/>
              </w:rPr>
              <w:t>Réalisé</w:t>
            </w:r>
          </w:p>
        </w:tc>
      </w:tr>
      <w:tr>
        <w:trPr/>
        <w:tc>
          <w:tcPr>
            <w:tcW w:w="4685" w:type="dxa"/>
            <w:tcBorders/>
          </w:tcPr>
          <w:p>
            <w:pPr>
              <w:pStyle w:val="Normal"/>
              <w:widowControl w:val="false"/>
              <w:suppressAutoHyphens w:val="true"/>
              <w:spacing w:lineRule="auto" w:line="240" w:before="0" w:after="0"/>
              <w:jc w:val="left"/>
              <w:rPr>
                <w:rFonts w:ascii="Times New Roman" w:hAnsi="Times New Roman" w:eastAsia="Arial" w:cs="Times New Roman"/>
                <w:b/>
                <w:b/>
                <w:bCs/>
                <w:iCs/>
                <w:sz w:val="20"/>
                <w:szCs w:val="20"/>
                <w:lang w:val="fr-FR"/>
              </w:rPr>
            </w:pPr>
            <w:r>
              <w:rPr>
                <w:rFonts w:eastAsia="Arial" w:cs="Times New Roman" w:ascii="Times New Roman" w:hAnsi="Times New Roman"/>
                <w:b/>
                <w:bCs/>
                <w:iCs/>
                <w:kern w:val="0"/>
                <w:sz w:val="20"/>
                <w:szCs w:val="20"/>
                <w:lang w:val="fr-FR" w:eastAsia="en-US" w:bidi="ar-SA"/>
              </w:rPr>
              <w:t>Nombre d’heures de formation dispensées aux acteurs de l’intégration</w:t>
            </w:r>
          </w:p>
          <w:p>
            <w:pPr>
              <w:pStyle w:val="Normal"/>
              <w:widowControl w:val="false"/>
              <w:suppressAutoHyphens w:val="true"/>
              <w:spacing w:lineRule="auto" w:line="240" w:before="0" w:after="0"/>
              <w:jc w:val="left"/>
              <w:rPr>
                <w:rFonts w:ascii="Times New Roman" w:hAnsi="Times New Roman" w:eastAsia="Arial" w:cs="Times New Roman"/>
                <w:iCs/>
                <w:sz w:val="20"/>
                <w:szCs w:val="20"/>
                <w:lang w:val="fr-FR"/>
              </w:rPr>
            </w:pPr>
            <w:r>
              <w:rPr>
                <w:rFonts w:eastAsia="Arial" w:cs="Times New Roman" w:ascii="Times New Roman" w:hAnsi="Times New Roman"/>
                <w:iCs/>
                <w:kern w:val="0"/>
                <w:sz w:val="20"/>
                <w:szCs w:val="20"/>
                <w:lang w:val="fr-FR" w:eastAsia="en-US" w:bidi="ar-SA"/>
              </w:rPr>
              <w:t>(comptabiliser les heures de formation indépendamment du</w:t>
            </w:r>
          </w:p>
          <w:p>
            <w:pPr>
              <w:pStyle w:val="Normal"/>
              <w:widowControl w:val="false"/>
              <w:suppressAutoHyphens w:val="true"/>
              <w:spacing w:lineRule="auto" w:line="240" w:before="0" w:after="0"/>
              <w:jc w:val="left"/>
              <w:rPr>
                <w:rFonts w:ascii="Times New Roman" w:hAnsi="Times New Roman" w:eastAsia="Arial" w:cs="Times New Roman"/>
                <w:iCs/>
                <w:sz w:val="20"/>
                <w:szCs w:val="20"/>
                <w:lang w:val="fr-FR"/>
              </w:rPr>
            </w:pPr>
            <w:r>
              <w:rPr>
                <w:rFonts w:eastAsia="Arial" w:cs="Times New Roman" w:ascii="Times New Roman" w:hAnsi="Times New Roman"/>
                <w:iCs/>
                <w:kern w:val="0"/>
                <w:sz w:val="20"/>
                <w:szCs w:val="20"/>
                <w:lang w:val="fr-FR" w:eastAsia="en-US" w:bidi="ar-SA"/>
              </w:rPr>
              <w:t>nombre de participants. Exemple : 6 heures de formation pour 12 participants = 6)</w:t>
            </w:r>
          </w:p>
          <w:p>
            <w:pPr>
              <w:pStyle w:val="Normal"/>
              <w:widowControl w:val="false"/>
              <w:suppressAutoHyphens w:val="true"/>
              <w:spacing w:lineRule="auto" w:line="240" w:before="0" w:after="0"/>
              <w:jc w:val="left"/>
              <w:rPr>
                <w:rFonts w:ascii="Times New Roman" w:hAnsi="Times New Roman" w:eastAsia="Arial" w:cs="Times New Roman"/>
                <w:iCs/>
                <w:sz w:val="20"/>
                <w:szCs w:val="20"/>
                <w:lang w:val="fr-FR"/>
              </w:rPr>
            </w:pPr>
            <w:r>
              <w:rPr>
                <w:rFonts w:eastAsia="Arial" w:cs="Times New Roman" w:ascii="Times New Roman" w:hAnsi="Times New Roman"/>
                <w:iCs/>
                <w:sz w:val="20"/>
                <w:szCs w:val="20"/>
                <w:lang w:val="fr-FR"/>
              </w:rPr>
            </w:r>
          </w:p>
        </w:tc>
        <w:tc>
          <w:tcPr>
            <w:tcW w:w="4602" w:type="dxa"/>
            <w:tcBorders/>
          </w:tcPr>
          <w:p>
            <w:pPr>
              <w:pStyle w:val="Normal"/>
              <w:widowControl w:val="false"/>
              <w:suppressAutoHyphens w:val="true"/>
              <w:spacing w:lineRule="auto" w:line="240" w:before="0" w:after="0"/>
              <w:jc w:val="left"/>
              <w:rPr>
                <w:rFonts w:ascii="Times New Roman" w:hAnsi="Times New Roman" w:eastAsia="Arial" w:cs="Times New Roman"/>
                <w:iCs/>
                <w:sz w:val="20"/>
                <w:szCs w:val="20"/>
                <w:lang w:val="fr-FR"/>
              </w:rPr>
            </w:pPr>
            <w:r>
              <w:rPr>
                <w:rFonts w:eastAsia="Arial" w:cs="Times New Roman" w:ascii="Times New Roman" w:hAnsi="Times New Roman"/>
                <w:iCs/>
                <w:sz w:val="20"/>
                <w:szCs w:val="20"/>
                <w:lang w:val="fr-FR"/>
              </w:rPr>
            </w:r>
          </w:p>
        </w:tc>
      </w:tr>
    </w:tbl>
    <w:p>
      <w:pPr>
        <w:pStyle w:val="Normal"/>
        <w:widowControl w:val="false"/>
        <w:spacing w:lineRule="auto" w:line="240" w:before="0" w:after="0"/>
        <w:rPr>
          <w:rFonts w:ascii="Times New Roman" w:hAnsi="Times New Roman" w:eastAsia="Arial" w:cs="Times New Roman"/>
          <w:iCs/>
          <w:sz w:val="20"/>
          <w:szCs w:val="20"/>
        </w:rPr>
      </w:pPr>
      <w:r>
        <w:rPr>
          <w:rFonts w:eastAsia="Arial" w:cs="Times New Roman" w:ascii="Times New Roman" w:hAnsi="Times New Roman"/>
          <w:i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56"/>
        <w:gridCol w:w="4631"/>
      </w:tblGrid>
      <w:tr>
        <w:trPr/>
        <w:tc>
          <w:tcPr>
            <w:tcW w:w="4656"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4631"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b/>
                <w:bCs/>
                <w:kern w:val="0"/>
                <w:sz w:val="20"/>
                <w:szCs w:val="20"/>
                <w:lang w:val="fr-FR" w:eastAsia="en-US" w:bidi="ar-SA"/>
              </w:rPr>
              <w:t>Description des outils</w:t>
            </w:r>
          </w:p>
        </w:tc>
      </w:tr>
      <w:tr>
        <w:trPr>
          <w:trHeight w:val="535" w:hRule="atLeast"/>
        </w:trPr>
        <w:tc>
          <w:tcPr>
            <w:tcW w:w="4656"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Outils créés et/ou mis à disposition des professionnels</w:t>
            </w:r>
          </w:p>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c>
          <w:tcPr>
            <w:tcW w:w="4631" w:type="dxa"/>
            <w:tcBorders/>
          </w:tcPr>
          <w:p>
            <w:pPr>
              <w:pStyle w:val="Normal"/>
              <w:widowControl w:val="false"/>
              <w:suppressAutoHyphens w:val="true"/>
              <w:spacing w:lineRule="auto" w:line="240" w:before="0" w:after="0"/>
              <w:jc w:val="left"/>
              <w:rPr>
                <w:rFonts w:ascii="Times New Roman" w:hAnsi="Times New Roman" w:eastAsia="Arial" w:cs="Times New Roman"/>
                <w:sz w:val="20"/>
                <w:szCs w:val="20"/>
                <w:lang w:val="fr-FR"/>
              </w:rPr>
            </w:pPr>
            <w:r>
              <w:rPr>
                <w:rFonts w:eastAsia="Arial" w:cs="Times New Roman" w:ascii="Times New Roman" w:hAnsi="Times New Roman"/>
                <w:sz w:val="20"/>
                <w:szCs w:val="20"/>
                <w:lang w:val="fr-FR"/>
              </w:rPr>
            </w:r>
          </w:p>
        </w:tc>
      </w:tr>
    </w:tbl>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spacing w:lineRule="auto" w:line="240" w:before="0" w:after="0"/>
        <w:rPr>
          <w:rFonts w:ascii="Times New Roman" w:hAnsi="Times New Roman" w:eastAsia="Arial" w:cs="Times New Roman"/>
          <w:sz w:val="20"/>
          <w:szCs w:val="20"/>
        </w:rPr>
      </w:pPr>
      <w:r>
        <w:rPr>
          <w:rFonts w:eastAsia="Arial" w:cs="Times New Roman" w:ascii="Times New Roman" w:hAnsi="Times New Roman"/>
          <w:sz w:val="20"/>
          <w:szCs w:val="20"/>
        </w:rPr>
      </w:r>
    </w:p>
    <w:p>
      <w:pPr>
        <w:pStyle w:val="Normal"/>
        <w:widowControl w:val="false"/>
        <w:numPr>
          <w:ilvl w:val="0"/>
          <w:numId w:val="2"/>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Indicateurs financiers (obligatoires pour toutes les actions)</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65"/>
        <w:gridCol w:w="4622"/>
      </w:tblGrid>
      <w:tr>
        <w:trPr/>
        <w:tc>
          <w:tcPr>
            <w:tcW w:w="4665"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622"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rHeight w:val="428" w:hRule="atLeast"/>
        </w:trPr>
        <w:tc>
          <w:tcPr>
            <w:tcW w:w="4665"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Coût total de l’action</w:t>
            </w:r>
          </w:p>
        </w:tc>
        <w:tc>
          <w:tcPr>
            <w:tcW w:w="4622"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4665"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Dont montant de la subvention sur les crédits du</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programme 104</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622"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0"/>
          <w:numId w:val="2"/>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Les indicateurs thématiques</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t>3.1 Apprentissage du français (y compris à visée professionnelle)</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73"/>
        <w:gridCol w:w="4214"/>
      </w:tblGrid>
      <w:tr>
        <w:trPr/>
        <w:tc>
          <w:tcPr>
            <w:tcW w:w="5073"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14"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07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d’heures de formation dispensées</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en-US" w:eastAsia="en-US" w:bidi="ar-SA"/>
              </w:rPr>
              <w:t>(</w:t>
            </w:r>
            <w:r>
              <w:rPr>
                <w:rFonts w:eastAsia="Arial" w:cs="Times New Roman" w:ascii="Times New Roman" w:hAnsi="Times New Roman"/>
                <w:bCs/>
                <w:kern w:val="0"/>
                <w:sz w:val="20"/>
                <w:szCs w:val="20"/>
                <w:lang w:val="en-US" w:eastAsia="en-US" w:bidi="ar-SA"/>
              </w:rPr>
              <w:t>comptabiliser les heures de formation indépendamment du nombre de participants. Exemple : 6 heures de formation pour 12 participants = 6)</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1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07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participants assidus</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(nombre de participants dont le taux de présence aux séances de formation dispensées est égal ou supérieur à 80 % du nombre d’heures prévues dans leur parcours individuel de formation)</w:t>
            </w:r>
          </w:p>
        </w:tc>
        <w:tc>
          <w:tcPr>
            <w:tcW w:w="421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07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participants ayant progressé d’au moins un niveau du Cadre européen commun de référence pour les langues (CECRL) entre le début et la fin de la formation</w:t>
            </w:r>
          </w:p>
        </w:tc>
        <w:tc>
          <w:tcPr>
            <w:tcW w:w="421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t>3.2 Accompagnement vers l’emploi</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50"/>
        <w:gridCol w:w="2437"/>
      </w:tblGrid>
      <w:tr>
        <w:trPr/>
        <w:tc>
          <w:tcPr>
            <w:tcW w:w="6850"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2437"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6850"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Durée moyenne du parcours d'accompagnement vers l'emploi</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(exprimée en mois entre l'inscription du bénéficiaire dans le</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parcours et sa sortie)</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2437"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rHeight w:val="393" w:hRule="atLeast"/>
        </w:trPr>
        <w:tc>
          <w:tcPr>
            <w:tcW w:w="6850" w:type="dxa"/>
            <w:tcBorders/>
          </w:tcPr>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Nombre de bénéficiaires en sortie positive à l’issue du parcours</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d’accompagnement vers l’emploi</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(est considérée comme une sortie positive une sortie en emploi quels qu'en soient la nature et le type ainsi qu'en formation préqualifiante/ qualifiante/certifiante ou diplômante)</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Dont nombre de bénéficiaires en formation professionnelle</w:t>
            </w:r>
          </w:p>
        </w:tc>
        <w:tc>
          <w:tcPr>
            <w:tcW w:w="2437"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rHeight w:val="709" w:hRule="atLeast"/>
        </w:trPr>
        <w:tc>
          <w:tcPr>
            <w:tcW w:w="6850" w:type="dxa"/>
            <w:tcBorders/>
          </w:tcPr>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Dont nombre de bénéficiaires en emploi durable à l’issue du parcours  (un emploi durable correspond à tout contrat de plus de 6 mois quels qu’en soit la nature et le type)</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sz w:val="20"/>
                <w:szCs w:val="20"/>
                <w:lang w:val="fr-FR"/>
              </w:rPr>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sz w:val="20"/>
                <w:szCs w:val="20"/>
                <w:lang w:val="fr-FR"/>
              </w:rPr>
            </w:r>
          </w:p>
        </w:tc>
        <w:tc>
          <w:tcPr>
            <w:tcW w:w="2437"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6850" w:type="dxa"/>
            <w:tcBorders/>
          </w:tcPr>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kern w:val="0"/>
                <w:sz w:val="20"/>
                <w:szCs w:val="20"/>
                <w:lang w:val="fr-FR" w:eastAsia="en-US" w:bidi="ar-SA"/>
              </w:rPr>
              <w:t>Dont nombre de bénéficiaires en sortie positive 6 mois après leur sortie de parcours. (Si ce suivi à 6 mois n’est pas réalisé, merci de le préciser)</w:t>
            </w:r>
          </w:p>
          <w:p>
            <w:pPr>
              <w:pStyle w:val="Normal"/>
              <w:widowControl w:val="false"/>
              <w:suppressAutoHyphens w:val="true"/>
              <w:spacing w:lineRule="auto" w:line="240" w:before="0" w:after="0"/>
              <w:jc w:val="left"/>
              <w:rPr>
                <w:rFonts w:ascii="Times New Roman" w:hAnsi="Times New Roman" w:eastAsia="Arial" w:cs="Times New Roman"/>
                <w:bCs/>
                <w:sz w:val="20"/>
                <w:szCs w:val="20"/>
                <w:lang w:val="fr-FR"/>
              </w:rPr>
            </w:pPr>
            <w:r>
              <w:rPr>
                <w:rFonts w:eastAsia="Arial" w:cs="Times New Roman" w:ascii="Times New Roman" w:hAnsi="Times New Roman"/>
                <w:bCs/>
                <w:sz w:val="20"/>
                <w:szCs w:val="20"/>
                <w:lang w:val="fr-FR"/>
              </w:rPr>
            </w:r>
          </w:p>
        </w:tc>
        <w:tc>
          <w:tcPr>
            <w:tcW w:w="2437"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0"/>
          <w:numId w:val="4"/>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 xml:space="preserve">Pour les projets d’accompagnement des femmes étrangères dans l’accès au marché du travail </w:t>
      </w:r>
    </w:p>
    <w:p>
      <w:pPr>
        <w:pStyle w:val="Normal"/>
        <w:widowControl w:val="false"/>
        <w:spacing w:lineRule="auto" w:line="240" w:before="2" w:after="0"/>
        <w:ind w:left="720" w:hanging="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3"/>
        <w:gridCol w:w="4584"/>
      </w:tblGrid>
      <w:tr>
        <w:trPr/>
        <w:tc>
          <w:tcPr>
            <w:tcW w:w="4703"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584"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c>
          <w:tcPr>
            <w:tcW w:w="470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en-US" w:eastAsia="en-US" w:bidi="ar-SA"/>
              </w:rPr>
              <w:t xml:space="preserve">Durée moyenne du parcours d’accompagnement vers l’emploi </w:t>
            </w:r>
            <w:r>
              <w:rPr>
                <w:rFonts w:eastAsia="Arial" w:cs="Times New Roman" w:ascii="Times New Roman" w:hAnsi="Times New Roman"/>
                <w:bCs/>
                <w:kern w:val="0"/>
                <w:sz w:val="20"/>
                <w:szCs w:val="20"/>
                <w:lang w:val="en-US" w:eastAsia="en-US" w:bidi="ar-SA"/>
              </w:rPr>
              <w:t>(exprimée en mois entre l’inscription du bénéficiaire dans le parcours et sa sortie)</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58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470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femmes ayant bénéficié d’une solution de garde d’enfants</w:t>
            </w:r>
          </w:p>
        </w:tc>
        <w:tc>
          <w:tcPr>
            <w:tcW w:w="458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2" w:after="0"/>
        <w:ind w:left="720" w:hanging="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t>3.3 Appropriation des principes de la République et des usages de la société française</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704"/>
        <w:gridCol w:w="3583"/>
      </w:tblGrid>
      <w:tr>
        <w:trPr/>
        <w:tc>
          <w:tcPr>
            <w:tcW w:w="5704"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583"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70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d’heures de formation dispensées</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Cs/>
                <w:kern w:val="0"/>
                <w:sz w:val="20"/>
                <w:szCs w:val="20"/>
                <w:lang w:val="fr-FR" w:eastAsia="en-US" w:bidi="ar-SA"/>
              </w:rPr>
              <w:t>(comptabiliser les heures de formation indépendamment du nombre de participants. Exemple : 6 heures de formation pour 12 participants = 6)</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58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48"/>
        <w:gridCol w:w="4239"/>
      </w:tblGrid>
      <w:tr>
        <w:trPr/>
        <w:tc>
          <w:tcPr>
            <w:tcW w:w="5048"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39"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Description des outils et des méthodes</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048"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Outils et méthodes utilisés pour l’appropriation des principes de la République et les usages de la société française</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39"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t xml:space="preserve">Thématique(s) de l’action menée </w:t>
      </w:r>
      <w:r>
        <w:rPr>
          <w:rFonts w:eastAsia="Arial" w:cs="Times New Roman" w:ascii="Times New Roman" w:hAnsi="Times New Roman"/>
          <w:bCs/>
          <w:sz w:val="20"/>
          <w:szCs w:val="20"/>
        </w:rPr>
        <w:t>(plusieurs réponses possibles) :</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Laïcité</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Égalité femmes-hommes</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Citoyenneté</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Parentalité</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Liens avec la société d’accueil (parrainage, mentorat…)</w:t>
      </w:r>
    </w:p>
    <w:p>
      <w:pPr>
        <w:pStyle w:val="Normal"/>
        <w:widowControl w:val="false"/>
        <w:spacing w:lineRule="auto" w:line="240" w:before="0" w:after="0"/>
        <w:rPr>
          <w:rFonts w:ascii="Times New Roman" w:hAnsi="Times New Roman" w:eastAsia="Arial" w:cs="Times New Roman"/>
          <w:bCs/>
          <w:sz w:val="20"/>
          <w:szCs w:val="20"/>
        </w:rPr>
      </w:pPr>
      <w:r>
        <w:rPr>
          <w:rFonts w:eastAsia="MS Gothic" w:cs="MS Gothic" w:ascii="MS Gothic" w:hAnsi="MS Gothic"/>
          <w:bCs/>
          <w:sz w:val="20"/>
          <w:szCs w:val="20"/>
        </w:rPr>
        <w:t>☐</w:t>
      </w:r>
      <w:r>
        <w:rPr>
          <w:rFonts w:eastAsia="Arial" w:cs="Times New Roman" w:ascii="Times New Roman" w:hAnsi="Times New Roman"/>
          <w:bCs/>
          <w:sz w:val="20"/>
          <w:szCs w:val="20"/>
        </w:rPr>
        <w:t xml:space="preserve"> </w:t>
      </w:r>
      <w:r>
        <w:rPr>
          <w:rFonts w:eastAsia="Arial" w:cs="Times New Roman" w:ascii="Times New Roman" w:hAnsi="Times New Roman"/>
          <w:bCs/>
          <w:sz w:val="20"/>
          <w:szCs w:val="20"/>
        </w:rPr>
        <w:t>Autres (préciser)</w:t>
      </w:r>
    </w:p>
    <w:p>
      <w:pPr>
        <w:pStyle w:val="Normal"/>
        <w:widowControl w:val="false"/>
        <w:spacing w:lineRule="auto" w:line="240" w:before="0" w:after="0"/>
        <w:rPr>
          <w:rFonts w:ascii="Times New Roman" w:hAnsi="Times New Roman" w:eastAsia="Arial" w:cs="Times New Roman"/>
          <w:bCs/>
          <w:sz w:val="20"/>
          <w:szCs w:val="20"/>
        </w:rPr>
      </w:pPr>
      <w:r>
        <w:rPr>
          <w:rFonts w:eastAsia="Arial" w:cs="Times New Roman" w:ascii="Times New Roman" w:hAnsi="Times New Roman"/>
          <w:bCs/>
          <w:sz w:val="20"/>
          <w:szCs w:val="20"/>
        </w:rPr>
      </w:r>
    </w:p>
    <w:p>
      <w:pPr>
        <w:pStyle w:val="Normal"/>
        <w:widowControl w:val="false"/>
        <w:spacing w:lineRule="auto" w:line="240" w:before="0" w:after="0"/>
        <w:rPr>
          <w:rFonts w:ascii="Times New Roman" w:hAnsi="Times New Roman" w:eastAsia="Arial" w:cs="Times New Roman"/>
          <w:bCs/>
          <w:sz w:val="20"/>
          <w:szCs w:val="20"/>
        </w:rPr>
      </w:pPr>
      <w:r>
        <w:rPr>
          <w:rFonts w:eastAsia="Arial" w:cs="Times New Roman" w:ascii="Times New Roman" w:hAnsi="Times New Roman"/>
          <w:bCs/>
          <w:sz w:val="20"/>
          <w:szCs w:val="20"/>
        </w:rPr>
      </w:r>
    </w:p>
    <w:p>
      <w:pPr>
        <w:pStyle w:val="Normal"/>
        <w:widowControl w:val="false"/>
        <w:spacing w:lineRule="auto" w:line="240" w:before="0" w:after="0"/>
        <w:rPr>
          <w:rFonts w:ascii="Times New Roman" w:hAnsi="Times New Roman" w:eastAsia="Arial" w:cs="Times New Roman"/>
          <w:bCs/>
          <w:sz w:val="20"/>
          <w:szCs w:val="20"/>
        </w:rPr>
      </w:pPr>
      <w:r>
        <w:rPr>
          <w:rFonts w:eastAsia="Arial" w:cs="Times New Roman" w:ascii="Times New Roman" w:hAnsi="Times New Roman"/>
          <w:bCs/>
          <w:sz w:val="20"/>
          <w:szCs w:val="20"/>
        </w:rPr>
      </w:r>
    </w:p>
    <w:p>
      <w:pPr>
        <w:pStyle w:val="Normal"/>
        <w:widowControl w:val="false"/>
        <w:numPr>
          <w:ilvl w:val="1"/>
          <w:numId w:val="5"/>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Accès au logement</w:t>
      </w:r>
    </w:p>
    <w:p>
      <w:pPr>
        <w:pStyle w:val="Normal"/>
        <w:widowControl w:val="false"/>
        <w:spacing w:lineRule="auto" w:line="240" w:before="2" w:after="0"/>
        <w:ind w:left="720" w:hanging="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52"/>
        <w:gridCol w:w="4235"/>
      </w:tblGrid>
      <w:tr>
        <w:trPr/>
        <w:tc>
          <w:tcPr>
            <w:tcW w:w="5052"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35"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052"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ménages d’étrangers éligibles ayant pu accéder à un logement pérenne</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35"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1"/>
          <w:numId w:val="5"/>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 xml:space="preserve">Accès à la santé </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059"/>
        <w:gridCol w:w="4228"/>
      </w:tblGrid>
      <w:tr>
        <w:trPr/>
        <w:tc>
          <w:tcPr>
            <w:tcW w:w="5059"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228"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c>
          <w:tcPr>
            <w:tcW w:w="5059"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consultations médicales pour des étrangers</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éligibles</w:t>
            </w:r>
          </w:p>
        </w:tc>
        <w:tc>
          <w:tcPr>
            <w:tcW w:w="4228"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1"/>
          <w:numId w:val="5"/>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 xml:space="preserve">Lutte contre la fracture numérique et l’illectronisme </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474"/>
        <w:gridCol w:w="1813"/>
      </w:tblGrid>
      <w:tr>
        <w:trPr/>
        <w:tc>
          <w:tcPr>
            <w:tcW w:w="7474"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1813"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c>
          <w:tcPr>
            <w:tcW w:w="747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d’outils (tablette, etc.) mis à disposition individuellement des étrangers éligibles</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181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747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en-US" w:eastAsia="en-US" w:bidi="ar-SA"/>
              </w:rPr>
              <w:t xml:space="preserve">Nombre d’heures de formation consacrée à la réduction de l’illectronisme </w:t>
            </w:r>
            <w:r>
              <w:rPr>
                <w:rFonts w:eastAsia="Arial" w:cs="Times New Roman" w:ascii="Times New Roman" w:hAnsi="Times New Roman"/>
                <w:bCs/>
                <w:kern w:val="0"/>
                <w:sz w:val="20"/>
                <w:szCs w:val="20"/>
                <w:lang w:val="en-US" w:eastAsia="en-US" w:bidi="ar-SA"/>
              </w:rPr>
              <w:t>(comptabiliser les heures de formation indépendamment du nombre de participants. Exemple : 6 heures de formation pour 12 participants = 6)</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181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rHeight w:val="505" w:hRule="atLeast"/>
        </w:trPr>
        <w:tc>
          <w:tcPr>
            <w:tcW w:w="747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démarches réalisées par médiation numérique</w:t>
            </w:r>
          </w:p>
        </w:tc>
        <w:tc>
          <w:tcPr>
            <w:tcW w:w="181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1"/>
          <w:numId w:val="5"/>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Actions de mentorat / parrainage</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56"/>
        <w:gridCol w:w="4631"/>
      </w:tblGrid>
      <w:tr>
        <w:trPr/>
        <w:tc>
          <w:tcPr>
            <w:tcW w:w="4656"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4631"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c>
          <w:tcPr>
            <w:tcW w:w="4656"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de binômes constitués</w:t>
            </w:r>
          </w:p>
        </w:tc>
        <w:tc>
          <w:tcPr>
            <w:tcW w:w="4631"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bl>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p>
      <w:pPr>
        <w:pStyle w:val="Normal"/>
        <w:widowControl w:val="false"/>
        <w:numPr>
          <w:ilvl w:val="1"/>
          <w:numId w:val="5"/>
        </w:numPr>
        <w:spacing w:lineRule="auto" w:line="240" w:before="2" w:after="0"/>
        <w:rPr>
          <w:rFonts w:ascii="Times New Roman" w:hAnsi="Times New Roman" w:eastAsia="Arial" w:cs="Times New Roman"/>
          <w:b/>
          <w:b/>
          <w:bCs/>
          <w:sz w:val="20"/>
          <w:szCs w:val="20"/>
        </w:rPr>
      </w:pPr>
      <w:r>
        <w:rPr>
          <w:rFonts w:eastAsia="Arial" w:cs="Times New Roman" w:ascii="Times New Roman" w:hAnsi="Times New Roman"/>
          <w:b/>
          <w:bCs/>
          <w:sz w:val="20"/>
          <w:szCs w:val="20"/>
        </w:rPr>
        <w:t>Accès au sport et à la culture</w:t>
      </w:r>
    </w:p>
    <w:p>
      <w:pPr>
        <w:pStyle w:val="Normal"/>
        <w:widowControl w:val="false"/>
        <w:spacing w:lineRule="auto" w:line="240" w:before="0" w:after="0"/>
        <w:rPr>
          <w:rFonts w:ascii="Times New Roman" w:hAnsi="Times New Roman" w:eastAsia="Arial" w:cs="Times New Roman"/>
          <w:b/>
          <w:b/>
          <w:bCs/>
          <w:sz w:val="20"/>
          <w:szCs w:val="20"/>
        </w:rPr>
      </w:pPr>
      <w:r>
        <w:rPr>
          <w:rFonts w:eastAsia="Arial" w:cs="Times New Roman" w:ascii="Times New Roman" w:hAnsi="Times New Roman"/>
          <w:b/>
          <w:bCs/>
          <w:sz w:val="20"/>
          <w:szCs w:val="20"/>
        </w:rPr>
      </w:r>
    </w:p>
    <w:tbl>
      <w:tblPr>
        <w:tblStyle w:val="Grilledutableau1"/>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14"/>
        <w:gridCol w:w="3973"/>
      </w:tblGrid>
      <w:tr>
        <w:trPr/>
        <w:tc>
          <w:tcPr>
            <w:tcW w:w="5314"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973" w:type="dxa"/>
            <w:tcBorders/>
            <w:shd w:color="auto" w:fill="76923C" w:themeFill="accent3" w:themeFillShade="bf" w:val="clear"/>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Réalisé</w:t>
            </w:r>
          </w:p>
        </w:tc>
      </w:tr>
      <w:tr>
        <w:trPr/>
        <w:tc>
          <w:tcPr>
            <w:tcW w:w="531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d’événements sportifs auxquels les bénéficiaires ont participé</w:t>
            </w:r>
          </w:p>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c>
          <w:tcPr>
            <w:tcW w:w="397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p>
        </w:tc>
      </w:tr>
      <w:tr>
        <w:trPr/>
        <w:tc>
          <w:tcPr>
            <w:tcW w:w="5314"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kern w:val="0"/>
                <w:sz w:val="20"/>
                <w:szCs w:val="20"/>
                <w:lang w:val="fr-FR" w:eastAsia="en-US" w:bidi="ar-SA"/>
              </w:rPr>
              <w:t>Nombre d’événements culturels auxquels les bénéficiaires ont participé</w:t>
            </w:r>
          </w:p>
        </w:tc>
        <w:tc>
          <w:tcPr>
            <w:tcW w:w="3973" w:type="dxa"/>
            <w:tcBorders/>
          </w:tcPr>
          <w:p>
            <w:pPr>
              <w:pStyle w:val="Normal"/>
              <w:widowControl w:val="false"/>
              <w:suppressAutoHyphens w:val="true"/>
              <w:spacing w:lineRule="auto" w:line="240" w:before="0" w:after="0"/>
              <w:jc w:val="left"/>
              <w:rPr>
                <w:rFonts w:ascii="Times New Roman" w:hAnsi="Times New Roman" w:eastAsia="Arial" w:cs="Times New Roman"/>
                <w:b/>
                <w:b/>
                <w:bCs/>
                <w:sz w:val="20"/>
                <w:szCs w:val="20"/>
                <w:lang w:val="fr-FR"/>
              </w:rPr>
            </w:pPr>
            <w:r>
              <w:rPr>
                <w:rFonts w:eastAsia="Arial" w:cs="Times New Roman" w:ascii="Times New Roman" w:hAnsi="Times New Roman"/>
                <w:b/>
                <w:bCs/>
                <w:sz w:val="20"/>
                <w:szCs w:val="20"/>
                <w:lang w:val="fr-FR"/>
              </w:rPr>
            </w:r>
            <w:bookmarkStart w:id="1" w:name="_GoBack"/>
            <w:bookmarkStart w:id="2" w:name="_GoBack"/>
            <w:bookmarkEnd w:id="2"/>
          </w:p>
        </w:tc>
      </w:tr>
    </w:tbl>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MS Gothic">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9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7"/>
    <w:lvlOverride w:ilvl="3">
      <w:startOverride w:val="1"/>
    </w:lvlOverride>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link w:val="Corpsdetexte"/>
    <w:uiPriority w:val="99"/>
    <w:semiHidden/>
    <w:qFormat/>
    <w:rsid w:val="00293a3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293a3f"/>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1" w:customStyle="1">
    <w:name w:val="Titre 1."/>
    <w:basedOn w:val="ListParagraph"/>
    <w:next w:val="Corpsdetexte"/>
    <w:qFormat/>
    <w:rsid w:val="00293a3f"/>
    <w:pPr>
      <w:widowControl w:val="false"/>
      <w:numPr>
        <w:ilvl w:val="0"/>
        <w:numId w:val="1"/>
      </w:numPr>
      <w:spacing w:lineRule="auto" w:line="240" w:before="2" w:after="0"/>
      <w:contextualSpacing w:val="false"/>
    </w:pPr>
    <w:rPr>
      <w:rFonts w:ascii="Arial" w:hAnsi="Arial" w:cs="Arial"/>
      <w:b/>
      <w:sz w:val="20"/>
      <w:szCs w:val="20"/>
      <w:u w:val="single"/>
    </w:rPr>
  </w:style>
  <w:style w:type="paragraph" w:styleId="ListParagraph">
    <w:name w:val="List Paragraph"/>
    <w:basedOn w:val="Normal"/>
    <w:uiPriority w:val="34"/>
    <w:qFormat/>
    <w:rsid w:val="00293a3f"/>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Grilledutableau1">
    <w:name w:val="Grille du tableau1"/>
    <w:basedOn w:val="TableauNormal"/>
    <w:uiPriority w:val="39"/>
    <w:rsid w:val="00293a3f"/>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dutableau">
    <w:name w:val="Table Grid"/>
    <w:basedOn w:val="TableauNormal"/>
    <w:uiPriority w:val="59"/>
    <w:rsid w:val="00293a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LibreOffice/7.2.7.2.M8$Windows_X86_64 LibreOffice_project/cf1bdbb7fdbe4cc2bde03370057fbbb79d316db5</Application>
  <AppVersion>15.0000</AppVersion>
  <Pages>5</Pages>
  <Words>843</Words>
  <Characters>4887</Characters>
  <CharactersWithSpaces>5664</CharactersWithSpaces>
  <Paragraphs>92</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2022-03-10T15:35:12Z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